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BA07D">
      <w:pPr>
        <w:keepNext w:val="0"/>
        <w:keepLines w:val="0"/>
        <w:widowControl/>
        <w:suppressLineNumbers w:val="0"/>
        <w:spacing w:before="300" w:beforeAutospacing="0"/>
        <w:ind w:lef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606266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606266"/>
          <w:spacing w:val="0"/>
          <w:kern w:val="0"/>
          <w:sz w:val="32"/>
          <w:szCs w:val="32"/>
          <w:u w:val="none"/>
          <w:lang w:val="en-US" w:eastAsia="zh-CN" w:bidi="ar"/>
        </w:rPr>
        <w:t>《关于加强“医药”类技术合同认定工作的若干意见》</w:t>
      </w:r>
    </w:p>
    <w:p w14:paraId="5A484188">
      <w:pPr>
        <w:keepNext w:val="0"/>
        <w:keepLines w:val="0"/>
        <w:widowControl/>
        <w:suppressLineNumbers w:val="0"/>
        <w:spacing w:before="300" w:beforeAutospacing="0"/>
        <w:ind w:lef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606266"/>
          <w:spacing w:val="0"/>
          <w:sz w:val="32"/>
          <w:szCs w:val="32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606266"/>
          <w:spacing w:val="0"/>
          <w:kern w:val="0"/>
          <w:sz w:val="32"/>
          <w:szCs w:val="32"/>
          <w:u w:val="none"/>
          <w:lang w:val="en-US" w:eastAsia="zh-CN" w:bidi="ar"/>
        </w:rPr>
        <w:t>（京技市字【2005】55号）</w:t>
      </w:r>
    </w:p>
    <w:p w14:paraId="2331F2C0">
      <w:pPr>
        <w:keepNext w:val="0"/>
        <w:keepLines w:val="0"/>
        <w:widowControl/>
        <w:suppressLineNumbers w:val="0"/>
        <w:spacing w:before="300" w:beforeAutospacing="0"/>
        <w:ind w:lef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各技术合同登记处：</w:t>
      </w:r>
      <w:bookmarkStart w:id="0" w:name="_GoBack"/>
      <w:bookmarkEnd w:id="0"/>
    </w:p>
    <w:p w14:paraId="797C4770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为了进一步规范“医药”类技术合同认定登记工作，结合当前“医药”类技术合同认定登记工作中遇到的问题，北京技术市场管理办公室组织相关专家进行了专题研究，并在已有的各项规定的基础上提出以下若干意见：</w:t>
      </w:r>
    </w:p>
    <w:p w14:paraId="74C98D2A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一、对完成药学、药效学、药理毒理及临床试验等全过程的医药研发工作所订立的合同，符合《技术合同认定规则》中技术开发合同规定的，可以认定为技术开发合同。</w:t>
      </w:r>
    </w:p>
    <w:p w14:paraId="335C9786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二、凡订立的合同中，含有药学研发的，对药的合成工艺、提取方法、稳定性等研究内容，符合《技术合同认定规则》中技术开发合同规定的，可以认定技术开发合同。</w:t>
      </w:r>
    </w:p>
    <w:p w14:paraId="6FA3BD5B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三、对已有国家药品标准的药品（指国内及其它国家的国家标准）进行仿制，且对已有标准有所提高为目标所订立的合同，可参照前面两款规定认定技术开发合同。</w:t>
      </w:r>
    </w:p>
    <w:p w14:paraId="5EB82F98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四、对已经上市药品的给药途径、剂型进行改变，且工艺上有质的改变为内容所订立的合同，可以认定技术开发合同。</w:t>
      </w:r>
    </w:p>
    <w:p w14:paraId="72071E8E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五、以药效学、药理毒理、临床试验以及药品安全性评价为内容所单独订立的合同，属于技术服务合同。</w:t>
      </w:r>
    </w:p>
    <w:p w14:paraId="4C8BC3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MDViM2Y2YjVlZDc2MmZhYzg4YjY0M2YxYzRmZTYifQ=="/>
  </w:docVars>
  <w:rsids>
    <w:rsidRoot w:val="726C75CE"/>
    <w:rsid w:val="0C87701D"/>
    <w:rsid w:val="726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2024-10-23T06:41:00Z</dcterms:created>
  <dc:creator>要开心吖~</dc:creator>
  <cp:lastModifiedBy>要开心吖~</cp:lastModifiedBy>
  <dcterms:modified xsi:type="dcterms:W3CDTF">2024-10-23T06:42:09Z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42031BEC30104E10AA42A40E553236CE_11</vt:lpwstr>
  </property>
</Properties>
</file>